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C53C" w14:textId="77777777" w:rsidR="00E34A72" w:rsidRPr="00405716" w:rsidRDefault="00E34A72" w:rsidP="00E34A72">
      <w:pPr>
        <w:rPr>
          <w:b/>
          <w:bCs/>
          <w:color w:val="156082" w:themeColor="accent1"/>
          <w:sz w:val="28"/>
          <w:szCs w:val="28"/>
        </w:rPr>
      </w:pPr>
      <w:r w:rsidRPr="00405716">
        <w:rPr>
          <w:b/>
          <w:bCs/>
          <w:color w:val="156082" w:themeColor="accent1"/>
          <w:sz w:val="28"/>
          <w:szCs w:val="28"/>
        </w:rPr>
        <w:t>Financial Support and Assistance for Students and Postdoctoral Fellows</w:t>
      </w:r>
    </w:p>
    <w:p w14:paraId="1F499931" w14:textId="77777777" w:rsidR="00E34A72" w:rsidRPr="00BE43EB" w:rsidRDefault="00E34A72" w:rsidP="00E34A72">
      <w:pPr>
        <w:rPr>
          <w:b/>
          <w:bCs/>
        </w:rPr>
      </w:pPr>
      <w:r w:rsidRPr="00BE43EB">
        <w:rPr>
          <w:b/>
          <w:bCs/>
        </w:rPr>
        <w:t>Table of Contents</w:t>
      </w:r>
    </w:p>
    <w:p w14:paraId="6586B328" w14:textId="77777777" w:rsidR="00E34A72" w:rsidRPr="00BE43EB" w:rsidRDefault="00E34A72" w:rsidP="00E34A72">
      <w:pPr>
        <w:numPr>
          <w:ilvl w:val="0"/>
          <w:numId w:val="1"/>
        </w:numPr>
      </w:pPr>
      <w:r w:rsidRPr="00BE43EB">
        <w:t>General</w:t>
      </w:r>
    </w:p>
    <w:p w14:paraId="7B93F4DF" w14:textId="77777777" w:rsidR="00E34A72" w:rsidRPr="00BE43EB" w:rsidRDefault="00E34A72" w:rsidP="00E34A72">
      <w:pPr>
        <w:numPr>
          <w:ilvl w:val="0"/>
          <w:numId w:val="1"/>
        </w:numPr>
      </w:pPr>
      <w:r w:rsidRPr="00BE43EB">
        <w:t>Definitions</w:t>
      </w:r>
    </w:p>
    <w:p w14:paraId="76260C10" w14:textId="77777777" w:rsidR="00E34A72" w:rsidRPr="00BE43EB" w:rsidRDefault="00E34A72" w:rsidP="00E34A72">
      <w:pPr>
        <w:numPr>
          <w:ilvl w:val="0"/>
          <w:numId w:val="1"/>
        </w:numPr>
      </w:pPr>
      <w:r w:rsidRPr="00BE43EB">
        <w:t>Form of Assistance</w:t>
      </w:r>
      <w:r>
        <w:rPr>
          <w:rFonts w:hint="cs"/>
          <w:rtl/>
        </w:rPr>
        <w:t xml:space="preserve"> </w:t>
      </w:r>
      <w:r>
        <w:t xml:space="preserve">and </w:t>
      </w:r>
      <w:r w:rsidRPr="00BE43EB">
        <w:t>Request Handling Procedure</w:t>
      </w:r>
    </w:p>
    <w:p w14:paraId="2CA9C829" w14:textId="77777777" w:rsidR="00E34A72" w:rsidRDefault="00E34A72" w:rsidP="00E34A72">
      <w:pPr>
        <w:numPr>
          <w:ilvl w:val="0"/>
          <w:numId w:val="1"/>
        </w:numPr>
      </w:pPr>
      <w:r w:rsidRPr="00BE43EB">
        <w:t>Contact Information</w:t>
      </w:r>
    </w:p>
    <w:p w14:paraId="08709A99" w14:textId="77777777" w:rsidR="00E34A72" w:rsidRPr="00BE43EB" w:rsidRDefault="00E34A72" w:rsidP="00E34A72">
      <w:pPr>
        <w:ind w:left="360"/>
      </w:pPr>
    </w:p>
    <w:p w14:paraId="62E7A0EB" w14:textId="77777777" w:rsidR="00E34A72" w:rsidRPr="00BE43EB" w:rsidRDefault="00E34A72" w:rsidP="00E34A72">
      <w:pPr>
        <w:rPr>
          <w:b/>
          <w:bCs/>
        </w:rPr>
      </w:pPr>
      <w:r w:rsidRPr="00BE43EB">
        <w:rPr>
          <w:b/>
          <w:bCs/>
        </w:rPr>
        <w:t>1. General</w:t>
      </w:r>
    </w:p>
    <w:p w14:paraId="6B154032" w14:textId="77777777" w:rsidR="00E34A72" w:rsidRDefault="00E34A72" w:rsidP="00E34A72">
      <w:r w:rsidRPr="00BE43EB">
        <w:t xml:space="preserve">In order to ease the financial difficulties faced by students and postdoctoral fellows (hereinafter: </w:t>
      </w:r>
      <w:r w:rsidRPr="006A1ED5">
        <w:rPr>
          <w:i/>
          <w:iCs/>
        </w:rPr>
        <w:t xml:space="preserve">“the </w:t>
      </w:r>
      <w:proofErr w:type="gramStart"/>
      <w:r w:rsidRPr="006A1ED5">
        <w:rPr>
          <w:i/>
          <w:iCs/>
        </w:rPr>
        <w:t>Students</w:t>
      </w:r>
      <w:proofErr w:type="gramEnd"/>
      <w:r w:rsidRPr="006A1ED5">
        <w:rPr>
          <w:i/>
          <w:iCs/>
        </w:rPr>
        <w:t>”</w:t>
      </w:r>
      <w:r w:rsidRPr="00BE43EB">
        <w:t>) during their studies, the</w:t>
      </w:r>
      <w:r>
        <w:t xml:space="preserve"> Weizmann</w:t>
      </w:r>
      <w:r w:rsidRPr="00BE43EB">
        <w:t xml:space="preserve"> School</w:t>
      </w:r>
      <w:r>
        <w:t xml:space="preserve"> of Science</w:t>
      </w:r>
      <w:r w:rsidRPr="00BE43EB">
        <w:t xml:space="preserve"> (hereinafter: </w:t>
      </w:r>
      <w:r w:rsidRPr="006A1ED5">
        <w:rPr>
          <w:i/>
          <w:iCs/>
        </w:rPr>
        <w:t>“</w:t>
      </w:r>
      <w:proofErr w:type="spellStart"/>
      <w:r w:rsidRPr="006A1ED5">
        <w:rPr>
          <w:i/>
          <w:iCs/>
        </w:rPr>
        <w:t>WSoS</w:t>
      </w:r>
      <w:proofErr w:type="spellEnd"/>
      <w:r w:rsidRPr="006A1ED5">
        <w:rPr>
          <w:i/>
          <w:iCs/>
        </w:rPr>
        <w:t>”</w:t>
      </w:r>
      <w:r w:rsidRPr="00BE43EB">
        <w:t xml:space="preserve">) </w:t>
      </w:r>
      <w:r w:rsidRPr="00B11B59">
        <w:t xml:space="preserve">permits </w:t>
      </w:r>
      <w:r w:rsidRPr="00BE43EB">
        <w:t>the submission of requests for financial support and assistance, all subject to the provisions of this procedure.</w:t>
      </w:r>
    </w:p>
    <w:p w14:paraId="294C9C6D" w14:textId="77777777" w:rsidR="00E34A72" w:rsidRPr="00BE43EB" w:rsidRDefault="00E34A72" w:rsidP="00E34A72">
      <w:r w:rsidRPr="00B11B59">
        <w:t>The matter shall be addressed by the designated professional</w:t>
      </w:r>
      <w:proofErr w:type="gramStart"/>
      <w:r w:rsidRPr="00B11B59">
        <w:t xml:space="preserve">: </w:t>
      </w:r>
      <w:r w:rsidRPr="00BB17C8">
        <w:t>:</w:t>
      </w:r>
      <w:proofErr w:type="gramEnd"/>
      <w:r>
        <w:t xml:space="preserve"> </w:t>
      </w:r>
      <w:r>
        <w:rPr>
          <w:b/>
          <w:bCs/>
        </w:rPr>
        <w:t>T</w:t>
      </w:r>
      <w:r w:rsidRPr="00BB17C8">
        <w:rPr>
          <w:b/>
          <w:bCs/>
        </w:rPr>
        <w:t>he Students and Postdocs</w:t>
      </w:r>
      <w:r>
        <w:t xml:space="preserve"> </w:t>
      </w:r>
      <w:r>
        <w:rPr>
          <w:b/>
          <w:bCs/>
        </w:rPr>
        <w:t>Wellbeing</w:t>
      </w:r>
      <w:r w:rsidRPr="000A1825">
        <w:rPr>
          <w:b/>
          <w:bCs/>
        </w:rPr>
        <w:t xml:space="preserve"> Office</w:t>
      </w:r>
      <w:r>
        <w:rPr>
          <w:b/>
          <w:bCs/>
        </w:rPr>
        <w:t>r (</w:t>
      </w:r>
      <w:r w:rsidRPr="000A1825">
        <w:t xml:space="preserve">hereinafter: </w:t>
      </w:r>
      <w:r w:rsidRPr="000A1825">
        <w:rPr>
          <w:i/>
          <w:iCs/>
        </w:rPr>
        <w:t>“</w:t>
      </w:r>
      <w:r>
        <w:rPr>
          <w:i/>
          <w:iCs/>
        </w:rPr>
        <w:t>Wellbeing Officer</w:t>
      </w:r>
      <w:r w:rsidRPr="000A1825">
        <w:rPr>
          <w:i/>
          <w:iCs/>
        </w:rPr>
        <w:t>”</w:t>
      </w:r>
      <w:r w:rsidRPr="000A1825">
        <w:t>)</w:t>
      </w:r>
      <w:r>
        <w:t>.</w:t>
      </w:r>
    </w:p>
    <w:p w14:paraId="7B19C88D" w14:textId="77777777" w:rsidR="00E34A72" w:rsidRPr="00BE43EB" w:rsidRDefault="00E34A72" w:rsidP="00E34A72">
      <w:pPr>
        <w:rPr>
          <w:b/>
          <w:bCs/>
        </w:rPr>
      </w:pPr>
      <w:r w:rsidRPr="00BE43EB">
        <w:rPr>
          <w:b/>
          <w:bCs/>
        </w:rPr>
        <w:t>2. Definitions</w:t>
      </w:r>
    </w:p>
    <w:p w14:paraId="272FC9F4" w14:textId="77777777" w:rsidR="00E34A72" w:rsidRPr="00BE43EB" w:rsidRDefault="00E34A72" w:rsidP="00E34A72">
      <w:r w:rsidRPr="00BE43EB">
        <w:rPr>
          <w:b/>
          <w:bCs/>
        </w:rPr>
        <w:t>2.1. “Loan”</w:t>
      </w:r>
      <w:r w:rsidRPr="00BE43EB">
        <w:t xml:space="preserve"> – </w:t>
      </w:r>
      <w:proofErr w:type="spellStart"/>
      <w:r>
        <w:t>WSoS</w:t>
      </w:r>
      <w:proofErr w:type="spellEnd"/>
      <w:r w:rsidRPr="00BE43EB">
        <w:t xml:space="preserve"> provides a loan fund from which its students may borrow money for personal purposes, in accordance with the provisions set out in the Loan Procedure.</w:t>
      </w:r>
    </w:p>
    <w:p w14:paraId="6F634B83" w14:textId="77777777" w:rsidR="00E34A72" w:rsidRPr="00BE43EB" w:rsidRDefault="00E34A72" w:rsidP="00E34A72">
      <w:r w:rsidRPr="00BE43EB">
        <w:rPr>
          <w:b/>
          <w:bCs/>
        </w:rPr>
        <w:t>2.2. “Application under a Call for Financial Assistance”</w:t>
      </w:r>
      <w:r w:rsidRPr="00BE43EB">
        <w:t xml:space="preserve"> </w:t>
      </w:r>
      <w:r>
        <w:rPr>
          <w:rFonts w:hint="cs"/>
          <w:rtl/>
        </w:rPr>
        <w:t>-</w:t>
      </w:r>
      <w:r w:rsidRPr="00BE43EB">
        <w:t xml:space="preserve">Twice a year, </w:t>
      </w:r>
      <w:proofErr w:type="spellStart"/>
      <w:r>
        <w:t>WSoS</w:t>
      </w:r>
      <w:proofErr w:type="spellEnd"/>
      <w:r w:rsidRPr="00BE43EB">
        <w:t xml:space="preserve"> will issue a Call for Applications aimed at providing financial grants to students experiencing financial hardship, whether sudden or ongoing.</w:t>
      </w:r>
      <w:r w:rsidRPr="00BE43EB">
        <w:br/>
        <w:t>Any student may apply in response to the Call, in accordance with the instructions and conditions detailed therein, and request financial assistance under this framework.</w:t>
      </w:r>
    </w:p>
    <w:p w14:paraId="4F54D16E" w14:textId="77777777" w:rsidR="00E34A72" w:rsidRDefault="00E34A72" w:rsidP="00E34A72">
      <w:pPr>
        <w:rPr>
          <w:rtl/>
        </w:rPr>
      </w:pPr>
      <w:r w:rsidRPr="00BE43EB">
        <w:rPr>
          <w:b/>
          <w:bCs/>
        </w:rPr>
        <w:t>2.3. “Urgent Request for Financial Assistance”</w:t>
      </w:r>
      <w:r w:rsidRPr="00BE43EB">
        <w:t xml:space="preserve"> </w:t>
      </w:r>
      <w:r>
        <w:rPr>
          <w:rFonts w:hint="cs"/>
          <w:rtl/>
        </w:rPr>
        <w:t xml:space="preserve"> -</w:t>
      </w:r>
      <w:r w:rsidRPr="00BE43EB">
        <w:t>A one-time financial grant for students who have encountered an unexpected and acute financial hardship, intended to enable them to continue their studies and research without interruption.</w:t>
      </w:r>
      <w:r w:rsidRPr="00BE43EB">
        <w:br/>
        <w:t xml:space="preserve">This request is intended for exceptional cases requiring immediate and unforeseen assistance, </w:t>
      </w:r>
      <w:r w:rsidRPr="00B11B59">
        <w:t xml:space="preserve">wherein </w:t>
      </w:r>
      <w:r w:rsidRPr="00BE43EB">
        <w:t xml:space="preserve">waiting for the next Call for Applications is not feasible, or when the </w:t>
      </w:r>
      <w:r w:rsidRPr="00BE43EB">
        <w:lastRenderedPageBreak/>
        <w:t xml:space="preserve">student’s financial situation does not allow repayment of a loan from the loan fund. In such cases, urgent financial support may be </w:t>
      </w:r>
      <w:proofErr w:type="gramStart"/>
      <w:r w:rsidRPr="00B11B59">
        <w:t xml:space="preserve">granted </w:t>
      </w:r>
      <w:r w:rsidRPr="00BE43EB">
        <w:t xml:space="preserve"> without</w:t>
      </w:r>
      <w:proofErr w:type="gramEnd"/>
      <w:r w:rsidRPr="00BE43EB">
        <w:t xml:space="preserve"> the requirement of repayment</w:t>
      </w:r>
      <w:r>
        <w:t>.</w:t>
      </w:r>
    </w:p>
    <w:p w14:paraId="03F35815" w14:textId="77777777" w:rsidR="00E34A72" w:rsidRDefault="00E34A72" w:rsidP="00E34A72">
      <w:pPr>
        <w:rPr>
          <w:rtl/>
        </w:rPr>
      </w:pPr>
    </w:p>
    <w:p w14:paraId="2986DF6B" w14:textId="77777777" w:rsidR="00E34A72" w:rsidRPr="00BE43EB" w:rsidRDefault="00E34A72" w:rsidP="00E34A72">
      <w:pPr>
        <w:rPr>
          <w:b/>
          <w:bCs/>
        </w:rPr>
      </w:pPr>
      <w:r w:rsidRPr="00BE43EB">
        <w:rPr>
          <w:b/>
          <w:bCs/>
        </w:rPr>
        <w:t>3. Form of Assistance</w:t>
      </w:r>
    </w:p>
    <w:p w14:paraId="3635D1C8" w14:textId="77777777" w:rsidR="00E34A72" w:rsidRPr="00BE43EB" w:rsidRDefault="00E34A72" w:rsidP="00E34A72">
      <w:r w:rsidRPr="00BE43EB">
        <w:t>Financial assistance may be provided in one of the following forms:</w:t>
      </w:r>
    </w:p>
    <w:p w14:paraId="49BDAB30" w14:textId="77777777" w:rsidR="00E34A72" w:rsidRPr="00BE43EB" w:rsidRDefault="00E34A72" w:rsidP="00E34A72">
      <w:pPr>
        <w:rPr>
          <w:rtl/>
        </w:rPr>
      </w:pPr>
      <w:r w:rsidRPr="00BE43EB">
        <w:rPr>
          <w:b/>
          <w:bCs/>
        </w:rPr>
        <w:t>3.1. Loan</w:t>
      </w:r>
      <w:r w:rsidRPr="00BE43EB">
        <w:t xml:space="preserve"> – Assistance in this form will be reviewed and processed in accordance with the provisions of the Loan Procedure [link].</w:t>
      </w:r>
    </w:p>
    <w:p w14:paraId="0C5D3FDC" w14:textId="77777777" w:rsidR="00E34A72" w:rsidRPr="00BE43EB" w:rsidRDefault="00E34A72" w:rsidP="00E34A72">
      <w:r w:rsidRPr="00BE43EB">
        <w:rPr>
          <w:b/>
          <w:bCs/>
        </w:rPr>
        <w:t>3.2. Application under a Call for Financial Assistance</w:t>
      </w:r>
      <w:r w:rsidRPr="00BE43EB">
        <w:t xml:space="preserve"> </w:t>
      </w:r>
      <w:r>
        <w:rPr>
          <w:rFonts w:hint="cs"/>
          <w:rtl/>
        </w:rPr>
        <w:t>-</w:t>
      </w:r>
      <w:r>
        <w:t xml:space="preserve"> </w:t>
      </w:r>
      <w:r w:rsidRPr="00BE43EB">
        <w:t>Assistance in this form will be reviewed and processed in accordance with the provisions of the relevant Call for Applications</w:t>
      </w:r>
      <w:r>
        <w:t>.</w:t>
      </w:r>
    </w:p>
    <w:p w14:paraId="70679237" w14:textId="77777777" w:rsidR="00E34A72" w:rsidRPr="00BE43EB" w:rsidRDefault="00E34A72" w:rsidP="00E34A72">
      <w:r w:rsidRPr="00BE43EB">
        <w:rPr>
          <w:b/>
          <w:bCs/>
        </w:rPr>
        <w:t>3.3. Urgent Request for Financial Assistance</w:t>
      </w:r>
      <w:r w:rsidRPr="00BE43EB">
        <w:t xml:space="preserve"> </w:t>
      </w:r>
      <w:r>
        <w:t>-</w:t>
      </w:r>
      <w:r w:rsidRPr="00BE43EB">
        <w:t xml:space="preserve"> Assistance in this form will be reviewed and processed as follows:</w:t>
      </w:r>
    </w:p>
    <w:p w14:paraId="50614A21" w14:textId="77777777" w:rsidR="00E34A72" w:rsidRPr="00BE43EB" w:rsidRDefault="00E34A72" w:rsidP="00E34A72">
      <w:r w:rsidRPr="00BE43EB">
        <w:rPr>
          <w:b/>
          <w:bCs/>
        </w:rPr>
        <w:t>3.3.1.</w:t>
      </w:r>
      <w:r w:rsidRPr="00BE43EB">
        <w:t xml:space="preserve"> The request must be submitted using the designated application form [</w:t>
      </w:r>
      <w:hyperlink r:id="rId7" w:history="1">
        <w:r w:rsidRPr="004278FE">
          <w:rPr>
            <w:rStyle w:val="Hyperlink"/>
          </w:rPr>
          <w:t>Login Page</w:t>
        </w:r>
      </w:hyperlink>
      <w:r w:rsidRPr="00BE43EB">
        <w:t xml:space="preserve">] to the </w:t>
      </w:r>
      <w:r>
        <w:t>Wellbeing Officer.</w:t>
      </w:r>
      <w:r w:rsidRPr="00BE43EB">
        <w:br/>
      </w:r>
      <w:r w:rsidRPr="00BE43EB">
        <w:rPr>
          <w:b/>
          <w:bCs/>
        </w:rPr>
        <w:t>3.3.2.</w:t>
      </w:r>
      <w:r w:rsidRPr="00BE43EB">
        <w:t xml:space="preserve"> Supporting documents clarifying the need and urgency must be attached to the application.</w:t>
      </w:r>
      <w:r w:rsidRPr="00BE43EB">
        <w:br/>
      </w:r>
      <w:r w:rsidRPr="00BE43EB">
        <w:rPr>
          <w:b/>
          <w:bCs/>
        </w:rPr>
        <w:t>3.3.3.</w:t>
      </w:r>
      <w:r w:rsidRPr="00BE43EB">
        <w:t xml:space="preserve"> The decision regarding the amount of assistance will be made by the Head of Administration of</w:t>
      </w:r>
      <w:r>
        <w:t xml:space="preserve"> </w:t>
      </w:r>
      <w:proofErr w:type="spellStart"/>
      <w:r>
        <w:t>WSoS</w:t>
      </w:r>
      <w:proofErr w:type="spellEnd"/>
      <w:r w:rsidRPr="00BE43EB">
        <w:t xml:space="preserve">, based on the recommendation of the </w:t>
      </w:r>
      <w:r>
        <w:t>Wellbeing Officer</w:t>
      </w:r>
      <w:r w:rsidRPr="00BE43EB">
        <w:t>, the social worker, and other relevant professionals as appropriate.</w:t>
      </w:r>
      <w:r w:rsidRPr="00BE43EB">
        <w:br/>
      </w:r>
      <w:r w:rsidRPr="00BE43EB">
        <w:rPr>
          <w:b/>
          <w:bCs/>
        </w:rPr>
        <w:t>3.3.4.</w:t>
      </w:r>
      <w:r w:rsidRPr="00BE43EB">
        <w:t xml:space="preserve"> </w:t>
      </w:r>
      <w:proofErr w:type="gramStart"/>
      <w:r w:rsidRPr="00BE43EB">
        <w:t>As a general rule</w:t>
      </w:r>
      <w:proofErr w:type="gramEnd"/>
      <w:r w:rsidRPr="00BE43EB">
        <w:t xml:space="preserve">, the amount of assistance shall not exceed NIS 10,000. Any exception, up to a maximum of NIS 20,000, requires the approval of the </w:t>
      </w:r>
      <w:proofErr w:type="spellStart"/>
      <w:r>
        <w:t>WSoS</w:t>
      </w:r>
      <w:proofErr w:type="spellEnd"/>
      <w:r w:rsidRPr="00BE43EB">
        <w:t xml:space="preserve"> Director and Academic Secretary.</w:t>
      </w:r>
    </w:p>
    <w:p w14:paraId="3F65C175" w14:textId="77777777" w:rsidR="00E34A72" w:rsidRDefault="00E34A72" w:rsidP="00E34A72"/>
    <w:p w14:paraId="3DBB8DCE" w14:textId="77777777" w:rsidR="00E34A72" w:rsidRPr="00BE43EB" w:rsidRDefault="00E34A72" w:rsidP="00E34A72">
      <w:pPr>
        <w:rPr>
          <w:b/>
          <w:bCs/>
        </w:rPr>
      </w:pPr>
      <w:r w:rsidRPr="00BE43EB">
        <w:rPr>
          <w:b/>
          <w:bCs/>
        </w:rPr>
        <w:t>4. Contact Information</w:t>
      </w:r>
    </w:p>
    <w:p w14:paraId="258E7471" w14:textId="5F3BEBAE" w:rsidR="00DE7C0D" w:rsidRPr="00E34A72" w:rsidRDefault="00E34A72" w:rsidP="00E34A72">
      <w:pPr>
        <w:rPr>
          <w:rFonts w:hint="cs"/>
          <w:rtl/>
        </w:rPr>
      </w:pPr>
      <w:r w:rsidRPr="00BE43EB">
        <w:rPr>
          <w:b/>
          <w:bCs/>
        </w:rPr>
        <w:t>Or Cohen</w:t>
      </w:r>
      <w:r w:rsidRPr="00BE43EB">
        <w:t xml:space="preserve"> </w:t>
      </w:r>
      <w:r>
        <w:t xml:space="preserve">- </w:t>
      </w:r>
      <w:r w:rsidRPr="00B24DD1">
        <w:rPr>
          <w:rFonts w:asciiTheme="majorHAnsi" w:hAnsiTheme="majorHAnsi"/>
          <w:b/>
          <w:bCs/>
        </w:rPr>
        <w:t>Students and Postdocs Wellbeing Officer</w:t>
      </w:r>
      <w:r w:rsidRPr="00B24DD1">
        <w:rPr>
          <w:rFonts w:asciiTheme="majorHAnsi" w:hAnsiTheme="majorHAnsi"/>
        </w:rPr>
        <w:t>.</w:t>
      </w:r>
      <w:r w:rsidRPr="00BE43EB">
        <w:br/>
        <w:t>Work phone: 08-9346737</w:t>
      </w:r>
      <w:r w:rsidRPr="00BE43EB">
        <w:br/>
        <w:t>Mobile: 054-6565076</w:t>
      </w:r>
      <w:r w:rsidRPr="00BE43EB">
        <w:br/>
        <w:t xml:space="preserve">Email: </w:t>
      </w:r>
      <w:hyperlink r:id="rId8" w:history="1">
        <w:r w:rsidRPr="00405716">
          <w:rPr>
            <w:rStyle w:val="Hyperlink"/>
          </w:rPr>
          <w:t>Wellbeingofficer@weizmann.ac.il</w:t>
        </w:r>
      </w:hyperlink>
    </w:p>
    <w:sectPr w:rsidR="00DE7C0D" w:rsidRPr="00E34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356F" w14:textId="77777777" w:rsidR="002F20DD" w:rsidRDefault="002F20DD" w:rsidP="00BE43EB">
      <w:pPr>
        <w:spacing w:after="0" w:line="240" w:lineRule="auto"/>
      </w:pPr>
      <w:r>
        <w:separator/>
      </w:r>
    </w:p>
  </w:endnote>
  <w:endnote w:type="continuationSeparator" w:id="0">
    <w:p w14:paraId="128F9649" w14:textId="77777777" w:rsidR="002F20DD" w:rsidRDefault="002F20DD" w:rsidP="00BE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A183" w14:textId="77777777" w:rsidR="002F20DD" w:rsidRDefault="002F20DD" w:rsidP="00BE43EB">
      <w:pPr>
        <w:spacing w:after="0" w:line="240" w:lineRule="auto"/>
      </w:pPr>
      <w:r>
        <w:separator/>
      </w:r>
    </w:p>
  </w:footnote>
  <w:footnote w:type="continuationSeparator" w:id="0">
    <w:p w14:paraId="55190310" w14:textId="77777777" w:rsidR="002F20DD" w:rsidRDefault="002F20DD" w:rsidP="00BE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59" w:type="dxa"/>
      <w:tblInd w:w="-712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6954"/>
    </w:tblGrid>
    <w:tr w:rsidR="00BE43EB" w:rsidRPr="007279BB" w14:paraId="3B4E90B5" w14:textId="77777777" w:rsidTr="005F2AA2">
      <w:trPr>
        <w:trHeight w:val="208"/>
      </w:trPr>
      <w:tc>
        <w:tcPr>
          <w:tcW w:w="2978" w:type="dxa"/>
          <w:vMerge w:val="restart"/>
        </w:tcPr>
        <w:p w14:paraId="5EE38D61" w14:textId="77777777" w:rsidR="00BE43EB" w:rsidRPr="002C6F00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object w:dxaOrig="6253" w:dyaOrig="3432" w14:anchorId="42A56A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6pt;height:79.2pt">
                <v:imagedata r:id="rId1" o:title=""/>
              </v:shape>
              <o:OLEObject Type="Embed" ProgID="PBrush" ShapeID="_x0000_i1025" DrawAspect="Content" ObjectID="_1825759868" r:id="rId2"/>
            </w:object>
          </w:r>
        </w:p>
      </w:tc>
      <w:tc>
        <w:tcPr>
          <w:tcW w:w="7081" w:type="dxa"/>
        </w:tcPr>
        <w:p w14:paraId="5AB3B5B4" w14:textId="77777777" w:rsidR="00BE43EB" w:rsidRPr="00EA4CDC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b/>
              <w:bCs/>
              <w:color w:val="353535"/>
              <w:sz w:val="20"/>
              <w:szCs w:val="20"/>
              <w:rtl/>
            </w:rPr>
          </w:pPr>
        </w:p>
      </w:tc>
    </w:tr>
    <w:tr w:rsidR="00BE43EB" w:rsidRPr="007279BB" w14:paraId="38227F39" w14:textId="77777777" w:rsidTr="005F2AA2">
      <w:trPr>
        <w:trHeight w:val="208"/>
      </w:trPr>
      <w:tc>
        <w:tcPr>
          <w:tcW w:w="2978" w:type="dxa"/>
          <w:vMerge/>
        </w:tcPr>
        <w:p w14:paraId="5012532F" w14:textId="77777777" w:rsidR="00BE43EB" w:rsidRPr="002C6F00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6A0E0D56" w14:textId="1886621B" w:rsidR="00BE43EB" w:rsidRPr="00E156DC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color w:val="353535"/>
              <w:sz w:val="20"/>
              <w:szCs w:val="20"/>
              <w:rtl/>
            </w:rPr>
          </w:pPr>
          <w:r w:rsidRPr="00E156DC">
            <w:rPr>
              <w:rFonts w:asciiTheme="minorBidi" w:hAnsiTheme="minorBidi"/>
              <w:color w:val="000000" w:themeColor="text1"/>
              <w:sz w:val="20"/>
              <w:szCs w:val="20"/>
              <w:rtl/>
            </w:rPr>
            <w:t>קטגוריה</w:t>
          </w:r>
          <w:r w:rsidRPr="00E156DC">
            <w:rPr>
              <w:rFonts w:asciiTheme="minorBidi" w:hAnsiTheme="minorBidi"/>
              <w:color w:val="353535"/>
              <w:sz w:val="20"/>
              <w:szCs w:val="20"/>
              <w:rtl/>
            </w:rPr>
            <w:t xml:space="preserve">: 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נוהל תמיכה וסיוע כלכלי בסטודנטים ובתר דוקטורים</w:t>
          </w:r>
          <w:r w:rsidR="00405716">
            <w:rPr>
              <w:rFonts w:asciiTheme="minorBidi" w:hAnsiTheme="minorBidi" w:hint="cs"/>
              <w:color w:val="353535"/>
              <w:sz w:val="20"/>
              <w:szCs w:val="20"/>
              <w:rtl/>
            </w:rPr>
            <w:t>- אנגלית</w:t>
          </w:r>
        </w:p>
      </w:tc>
    </w:tr>
    <w:tr w:rsidR="00BE43EB" w:rsidRPr="007279BB" w14:paraId="3CC72AC0" w14:textId="77777777" w:rsidTr="005F2AA2">
      <w:trPr>
        <w:trHeight w:val="144"/>
      </w:trPr>
      <w:tc>
        <w:tcPr>
          <w:tcW w:w="2978" w:type="dxa"/>
          <w:vMerge/>
        </w:tcPr>
        <w:p w14:paraId="1E778586" w14:textId="77777777" w:rsidR="00BE43EB" w:rsidRPr="002C6F00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6A4A3B05" w14:textId="77777777" w:rsidR="00BE43EB" w:rsidRPr="00E156DC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הוכן ע״י: דנה ינאי ואור כהן</w:t>
          </w:r>
        </w:p>
      </w:tc>
    </w:tr>
    <w:tr w:rsidR="00BE43EB" w:rsidRPr="007279BB" w14:paraId="63EE3323" w14:textId="77777777" w:rsidTr="005F2AA2">
      <w:trPr>
        <w:trHeight w:val="236"/>
      </w:trPr>
      <w:tc>
        <w:tcPr>
          <w:tcW w:w="2978" w:type="dxa"/>
          <w:vMerge/>
        </w:tcPr>
        <w:p w14:paraId="3FBFCBDC" w14:textId="77777777" w:rsidR="00BE43EB" w:rsidRPr="002C6F00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3BFC9508" w14:textId="64AD29D4" w:rsidR="00BE43EB" w:rsidRPr="00E156DC" w:rsidRDefault="00BE43EB" w:rsidP="00BE43EB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עודכן: בתארי</w:t>
          </w:r>
          <w:r>
            <w:rPr>
              <w:rFonts w:asciiTheme="minorBidi" w:hAnsiTheme="minorBidi" w:hint="eastAsia"/>
              <w:color w:val="353535"/>
              <w:sz w:val="20"/>
              <w:szCs w:val="20"/>
              <w:rtl/>
            </w:rPr>
            <w:t>ך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 xml:space="preserve"> </w:t>
          </w:r>
          <w:r w:rsidR="00405716">
            <w:rPr>
              <w:rFonts w:asciiTheme="minorBidi" w:hAnsiTheme="minorBidi" w:hint="cs"/>
              <w:color w:val="353535"/>
              <w:sz w:val="20"/>
              <w:szCs w:val="20"/>
              <w:rtl/>
            </w:rPr>
            <w:t>24.11.25</w:t>
          </w:r>
        </w:p>
      </w:tc>
    </w:tr>
  </w:tbl>
  <w:p w14:paraId="605DF66A" w14:textId="77777777" w:rsidR="00BE43EB" w:rsidRPr="00BE43EB" w:rsidRDefault="00BE43EB" w:rsidP="00BE4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627F"/>
    <w:multiLevelType w:val="multilevel"/>
    <w:tmpl w:val="F60E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96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EB"/>
    <w:rsid w:val="0006145B"/>
    <w:rsid w:val="000766B9"/>
    <w:rsid w:val="002F20DD"/>
    <w:rsid w:val="00405716"/>
    <w:rsid w:val="004278FE"/>
    <w:rsid w:val="004A4948"/>
    <w:rsid w:val="006A1ED5"/>
    <w:rsid w:val="006D3B29"/>
    <w:rsid w:val="00751390"/>
    <w:rsid w:val="00800F25"/>
    <w:rsid w:val="008D43F2"/>
    <w:rsid w:val="009E17BC"/>
    <w:rsid w:val="00BE43EB"/>
    <w:rsid w:val="00DC4BD4"/>
    <w:rsid w:val="00DE2F87"/>
    <w:rsid w:val="00DE7C0D"/>
    <w:rsid w:val="00E05C4B"/>
    <w:rsid w:val="00E34A72"/>
    <w:rsid w:val="00F06431"/>
    <w:rsid w:val="00F70E61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B3B22"/>
  <w15:chartTrackingRefBased/>
  <w15:docId w15:val="{8AEE06F4-8A0E-4F45-91F1-0BD1E4E6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72"/>
  </w:style>
  <w:style w:type="paragraph" w:styleId="Heading1">
    <w:name w:val="heading 1"/>
    <w:basedOn w:val="Normal"/>
    <w:next w:val="Normal"/>
    <w:link w:val="Heading1Char"/>
    <w:uiPriority w:val="9"/>
    <w:qFormat/>
    <w:rsid w:val="00BE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EB"/>
  </w:style>
  <w:style w:type="paragraph" w:styleId="Footer">
    <w:name w:val="footer"/>
    <w:basedOn w:val="Normal"/>
    <w:link w:val="FooterChar"/>
    <w:uiPriority w:val="99"/>
    <w:unhideWhenUsed/>
    <w:rsid w:val="00BE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B"/>
  </w:style>
  <w:style w:type="table" w:styleId="TableGrid">
    <w:name w:val="Table Grid"/>
    <w:basedOn w:val="TableNormal"/>
    <w:uiPriority w:val="59"/>
    <w:rsid w:val="00BE43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8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beingofficer@weizmann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apex.weizmann.ac.il/ords304/PRODHR/f?p=254:101:::::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Or Cohen</cp:lastModifiedBy>
  <cp:revision>4</cp:revision>
  <dcterms:created xsi:type="dcterms:W3CDTF">2025-11-24T06:52:00Z</dcterms:created>
  <dcterms:modified xsi:type="dcterms:W3CDTF">2025-11-27T12:45:00Z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084ef931b39a4efd99bc7ccdcd7456be</vt:lpwstr>
  </property>
</Properties>
</file>